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Whitehall Mill Condominium Association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Annual Meeting Minutes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November 19, 2024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Call to Order: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Annual Meeting for Whitehall Mill Condominium Association was called to order at 2:04 pm and was held via Zoom. Angie Durham and Claire McHan were present representing Compass Association Management.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Establish a Quorum: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quorum was established with 22 units represented in person or by proxy.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Dave Devereaux gave a detailed overview of Whitehall Mill via a PowerPoint presentation.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Financials: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2024 Year to Date financials were presented. As of October 31, 2024, there is $8,118.21 in the Operating Account and $199,082.67 in the Reserve Account. There is $101,430.41 held in a Raymond James account and $50,000.00 in a CD for a total year to date assets in the amount of $358,992.82. Opportunity was given to discuss any of the budget items presented in the report.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of 2025 Proposed Budget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An overview of the 2025 Budget and the goals for the upcoming year was presented via slide deck. Dues are calculated on unit square footage with a proposed increase of 9.9%. A voting link will be sent to all owners to vote on the budget on November 20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the link will stay open until December 4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Elect 2025 Board of Directors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There are 3 seats available and 3 nominees – Stella Davison, Maggie Davis and Lois Creech. A ballot will be sent to all owners to vote electronically with a December 4th, deadline.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there was no further business, the meeting was adjourned at 2:39 p.m. Minutes respectfully submitted by Claire McHan.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26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